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854"/>
      </w:tblGrid>
      <w:tr w:rsidR="003C4E55" w:rsidTr="003C4E55">
        <w:trPr>
          <w:trHeight w:val="830"/>
        </w:trPr>
        <w:tc>
          <w:tcPr>
            <w:tcW w:w="10456" w:type="dxa"/>
            <w:hideMark/>
          </w:tcPr>
          <w:p w:rsidR="003C4E55" w:rsidRPr="00241270" w:rsidRDefault="003C4E55">
            <w:pPr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1270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C4E55" w:rsidRPr="00241270" w:rsidRDefault="003C4E5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27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3C4E55" w:rsidTr="003C4E55">
        <w:trPr>
          <w:trHeight w:val="561"/>
        </w:trPr>
        <w:tc>
          <w:tcPr>
            <w:tcW w:w="10456" w:type="dxa"/>
            <w:hideMark/>
          </w:tcPr>
          <w:p w:rsidR="003C4E55" w:rsidRPr="00241270" w:rsidRDefault="003C4E5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1270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3C4E55" w:rsidTr="003C4E55">
        <w:trPr>
          <w:trHeight w:val="550"/>
        </w:trPr>
        <w:tc>
          <w:tcPr>
            <w:tcW w:w="10456" w:type="dxa"/>
            <w:hideMark/>
          </w:tcPr>
          <w:p w:rsidR="003C4E55" w:rsidRPr="00241270" w:rsidRDefault="003C4E5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127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C4E55" w:rsidTr="003C4E55">
        <w:tc>
          <w:tcPr>
            <w:tcW w:w="10456" w:type="dxa"/>
            <w:hideMark/>
          </w:tcPr>
          <w:p w:rsidR="003C4E55" w:rsidRPr="00241270" w:rsidRDefault="003C4E55" w:rsidP="003C4E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270">
              <w:rPr>
                <w:rFonts w:ascii="Times New Roman" w:hAnsi="Times New Roman" w:cs="Times New Roman"/>
                <w:sz w:val="28"/>
                <w:szCs w:val="28"/>
              </w:rPr>
              <w:t xml:space="preserve"> 19 июня 2023 года                                                                                             № 25</w:t>
            </w:r>
          </w:p>
        </w:tc>
      </w:tr>
      <w:tr w:rsidR="003C4E55" w:rsidTr="003C4E55">
        <w:tc>
          <w:tcPr>
            <w:tcW w:w="10456" w:type="dxa"/>
            <w:hideMark/>
          </w:tcPr>
          <w:p w:rsidR="003C4E55" w:rsidRPr="00241270" w:rsidRDefault="003C4E5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270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782C1E" w:rsidRPr="0071039F" w:rsidRDefault="00782C1E" w:rsidP="00C1147B">
      <w:pPr>
        <w:pStyle w:val="ConsTitle"/>
        <w:widowControl/>
        <w:ind w:right="0"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86FE5" w:rsidRPr="003C4E55" w:rsidRDefault="003C4E55" w:rsidP="003C4E55">
      <w:pPr>
        <w:pStyle w:val="a3"/>
        <w:suppressAutoHyphens/>
        <w:spacing w:line="240" w:lineRule="auto"/>
        <w:ind w:firstLine="539"/>
        <w:contextualSpacing/>
        <w:jc w:val="center"/>
        <w:rPr>
          <w:b/>
          <w:szCs w:val="28"/>
        </w:rPr>
      </w:pPr>
      <w:bookmarkStart w:id="0" w:name="_Hlk95837560"/>
      <w:r w:rsidRPr="003C4E55">
        <w:rPr>
          <w:b/>
          <w:szCs w:val="28"/>
        </w:rPr>
        <w:t>«</w:t>
      </w:r>
      <w:r w:rsidR="00C1147B" w:rsidRPr="003C4E55">
        <w:rPr>
          <w:b/>
          <w:szCs w:val="28"/>
        </w:rPr>
        <w:t>Об утверждении Порядка определения размера арендной платы за земельные участки, предоставленные в аренду без торгов</w:t>
      </w:r>
      <w:r w:rsidR="00A840D2" w:rsidRPr="003C4E55">
        <w:rPr>
          <w:b/>
          <w:szCs w:val="28"/>
        </w:rPr>
        <w:t>,</w:t>
      </w:r>
      <w:r w:rsidR="00C1147B" w:rsidRPr="003C4E55">
        <w:rPr>
          <w:b/>
          <w:szCs w:val="28"/>
        </w:rPr>
        <w:t xml:space="preserve"> и</w:t>
      </w:r>
      <w:r w:rsidR="006717C7" w:rsidRPr="003C4E55">
        <w:rPr>
          <w:b/>
          <w:szCs w:val="28"/>
        </w:rPr>
        <w:t xml:space="preserve"> установлени</w:t>
      </w:r>
      <w:r w:rsidR="00CE496F" w:rsidRPr="003C4E55">
        <w:rPr>
          <w:b/>
          <w:szCs w:val="28"/>
        </w:rPr>
        <w:t>и коэффициентов, применяемых при расчете годовой арендной платы за земельные участки, государственная собственность на которые не разграничена</w:t>
      </w:r>
      <w:r w:rsidR="006717C7" w:rsidRPr="003C4E55">
        <w:rPr>
          <w:b/>
          <w:szCs w:val="28"/>
        </w:rPr>
        <w:t>,</w:t>
      </w:r>
      <w:r w:rsidR="00786FE5" w:rsidRPr="003C4E55">
        <w:rPr>
          <w:b/>
          <w:szCs w:val="28"/>
        </w:rPr>
        <w:t xml:space="preserve"> </w:t>
      </w:r>
      <w:r w:rsidR="00C1147B" w:rsidRPr="003C4E55">
        <w:rPr>
          <w:b/>
          <w:szCs w:val="28"/>
        </w:rPr>
        <w:t>расположенны</w:t>
      </w:r>
      <w:r w:rsidR="00CE496F" w:rsidRPr="003C4E55">
        <w:rPr>
          <w:b/>
          <w:szCs w:val="28"/>
        </w:rPr>
        <w:t>е</w:t>
      </w:r>
      <w:r w:rsidR="00C1147B" w:rsidRPr="003C4E55">
        <w:rPr>
          <w:b/>
          <w:szCs w:val="28"/>
        </w:rPr>
        <w:t xml:space="preserve"> </w:t>
      </w:r>
      <w:r w:rsidR="00786FE5" w:rsidRPr="003C4E55">
        <w:rPr>
          <w:b/>
          <w:szCs w:val="28"/>
        </w:rPr>
        <w:t xml:space="preserve">на территории </w:t>
      </w:r>
      <w:r w:rsidR="00F1297C" w:rsidRPr="003C4E55">
        <w:rPr>
          <w:b/>
          <w:szCs w:val="28"/>
        </w:rPr>
        <w:t>городского поселения «Новокручининское»</w:t>
      </w:r>
    </w:p>
    <w:bookmarkEnd w:id="0"/>
    <w:p w:rsidR="00786FE5" w:rsidRPr="003C4E55" w:rsidRDefault="00786FE5" w:rsidP="00C1147B">
      <w:pPr>
        <w:pStyle w:val="a3"/>
        <w:suppressAutoHyphens/>
        <w:spacing w:line="240" w:lineRule="auto"/>
        <w:ind w:firstLine="0"/>
        <w:contextualSpacing/>
        <w:rPr>
          <w:szCs w:val="28"/>
        </w:rPr>
      </w:pPr>
    </w:p>
    <w:p w:rsidR="00EB6B0D" w:rsidRPr="003C4E55" w:rsidRDefault="00786FE5" w:rsidP="0071039F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4E55">
        <w:rPr>
          <w:rFonts w:ascii="Times New Roman" w:hAnsi="Times New Roman" w:cs="Times New Roman"/>
          <w:sz w:val="28"/>
          <w:szCs w:val="28"/>
        </w:rPr>
        <w:tab/>
        <w:t>В соответствии со стать</w:t>
      </w:r>
      <w:r w:rsidR="006E2AB6" w:rsidRPr="003C4E55">
        <w:rPr>
          <w:rFonts w:ascii="Times New Roman" w:hAnsi="Times New Roman" w:cs="Times New Roman"/>
          <w:sz w:val="28"/>
          <w:szCs w:val="28"/>
        </w:rPr>
        <w:t>ями</w:t>
      </w:r>
      <w:r w:rsidRPr="003C4E55">
        <w:rPr>
          <w:rFonts w:ascii="Times New Roman" w:hAnsi="Times New Roman" w:cs="Times New Roman"/>
          <w:sz w:val="28"/>
          <w:szCs w:val="28"/>
        </w:rPr>
        <w:t xml:space="preserve"> 39.7</w:t>
      </w:r>
      <w:r w:rsidR="006E2AB6" w:rsidRPr="003C4E55">
        <w:rPr>
          <w:rFonts w:ascii="Times New Roman" w:hAnsi="Times New Roman" w:cs="Times New Roman"/>
          <w:sz w:val="28"/>
          <w:szCs w:val="28"/>
        </w:rPr>
        <w:t>, 65</w:t>
      </w:r>
      <w:r w:rsidRPr="003C4E55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="007E2110" w:rsidRPr="003C4E55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E15DB7" w:rsidRPr="003C4E55">
        <w:rPr>
          <w:rFonts w:ascii="Times New Roman" w:hAnsi="Times New Roman" w:cs="Times New Roman"/>
          <w:sz w:val="28"/>
          <w:szCs w:val="28"/>
        </w:rPr>
        <w:t xml:space="preserve"> </w:t>
      </w:r>
      <w:r w:rsidRPr="003C4E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</w:t>
      </w:r>
      <w:r w:rsidR="00601DBC" w:rsidRPr="003C4E55">
        <w:rPr>
          <w:rFonts w:ascii="Times New Roman" w:hAnsi="Times New Roman" w:cs="Times New Roman"/>
          <w:sz w:val="28"/>
          <w:szCs w:val="28"/>
        </w:rPr>
        <w:t>от 19 июня 2015 года № 305</w:t>
      </w:r>
      <w:r w:rsidR="007E2110" w:rsidRPr="003C4E55">
        <w:rPr>
          <w:rFonts w:ascii="Times New Roman" w:hAnsi="Times New Roman" w:cs="Times New Roman"/>
          <w:sz w:val="28"/>
          <w:szCs w:val="28"/>
        </w:rPr>
        <w:t xml:space="preserve"> </w:t>
      </w:r>
      <w:r w:rsidR="007E2110" w:rsidRPr="003C4E5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7E2110" w:rsidRPr="003C4E5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</w:t>
      </w:r>
      <w:r w:rsidR="00F1297C" w:rsidRPr="003C4E55">
        <w:rPr>
          <w:rFonts w:ascii="Times New Roman" w:hAnsi="Times New Roman" w:cs="Times New Roman"/>
          <w:bCs/>
          <w:sz w:val="28"/>
          <w:szCs w:val="28"/>
        </w:rPr>
        <w:t>,</w:t>
      </w:r>
      <w:r w:rsidR="007E2110" w:rsidRPr="003C4E55">
        <w:rPr>
          <w:rFonts w:ascii="Times New Roman" w:hAnsi="Times New Roman" w:cs="Times New Roman"/>
          <w:bCs/>
          <w:sz w:val="28"/>
          <w:szCs w:val="28"/>
        </w:rPr>
        <w:t xml:space="preserve"> Решением Совета муниципального района «Читинский район» от 25 февраля 2022 года № 272 «</w:t>
      </w:r>
      <w:r w:rsidR="007E2110" w:rsidRPr="003C4E5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муниципального района «Читинский район», предоставленные в аренду без торгов, и установлении коэффициентов, применяемых при расчете годовой арендной платы за земельные участки, государственная собственность на которые не разграничена, расположенные на территории муниципального района «Читинский район», </w:t>
      </w:r>
      <w:r w:rsidRPr="003C4E5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1297C" w:rsidRPr="003C4E55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«Новокручининское», Совет городского поселения «Новокручининское»</w:t>
      </w:r>
    </w:p>
    <w:p w:rsidR="00786FE5" w:rsidRPr="003C4E55" w:rsidRDefault="00C1147B" w:rsidP="007103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4E55">
        <w:rPr>
          <w:rFonts w:ascii="Times New Roman" w:hAnsi="Times New Roman" w:cs="Times New Roman"/>
          <w:b/>
          <w:sz w:val="28"/>
          <w:szCs w:val="28"/>
        </w:rPr>
        <w:t>РЕШИЛ</w:t>
      </w:r>
      <w:r w:rsidR="00786FE5" w:rsidRPr="003C4E55">
        <w:rPr>
          <w:rFonts w:ascii="Times New Roman" w:hAnsi="Times New Roman" w:cs="Times New Roman"/>
          <w:b/>
          <w:sz w:val="28"/>
          <w:szCs w:val="28"/>
        </w:rPr>
        <w:t>:</w:t>
      </w:r>
    </w:p>
    <w:p w:rsidR="007E2110" w:rsidRPr="003C4E55" w:rsidRDefault="00C1147B" w:rsidP="0071039F">
      <w:pPr>
        <w:pStyle w:val="a3"/>
        <w:numPr>
          <w:ilvl w:val="0"/>
          <w:numId w:val="1"/>
        </w:numPr>
        <w:suppressAutoHyphens/>
        <w:spacing w:line="240" w:lineRule="auto"/>
        <w:contextualSpacing/>
        <w:rPr>
          <w:szCs w:val="28"/>
        </w:rPr>
      </w:pPr>
      <w:r w:rsidRPr="003C4E55">
        <w:rPr>
          <w:szCs w:val="28"/>
        </w:rPr>
        <w:t xml:space="preserve">Утвердить </w:t>
      </w:r>
      <w:r w:rsidR="00F1297C" w:rsidRPr="003C4E55">
        <w:rPr>
          <w:szCs w:val="28"/>
        </w:rPr>
        <w:t>Порядка определения разм</w:t>
      </w:r>
      <w:r w:rsidR="007E2110" w:rsidRPr="003C4E55">
        <w:rPr>
          <w:szCs w:val="28"/>
        </w:rPr>
        <w:t xml:space="preserve">ера арендной платы за земельные </w:t>
      </w:r>
    </w:p>
    <w:p w:rsidR="00E55B28" w:rsidRPr="003C4E55" w:rsidRDefault="00F1297C" w:rsidP="0071039F">
      <w:pPr>
        <w:pStyle w:val="a3"/>
        <w:suppressAutoHyphens/>
        <w:spacing w:line="240" w:lineRule="auto"/>
        <w:ind w:firstLine="0"/>
        <w:contextualSpacing/>
        <w:rPr>
          <w:szCs w:val="28"/>
        </w:rPr>
      </w:pPr>
      <w:r w:rsidRPr="003C4E55">
        <w:rPr>
          <w:szCs w:val="28"/>
        </w:rPr>
        <w:t xml:space="preserve">участки, предоставленные в аренду без торгов, и установлении коэффициентов, применяемых при расчете годовой арендной платы за земельные участки, государственная собственность на которые не разграничена, расположенные на территории городского поселения «Новокручининское» </w:t>
      </w:r>
      <w:r w:rsidR="00D5096C" w:rsidRPr="003C4E55">
        <w:rPr>
          <w:szCs w:val="28"/>
        </w:rPr>
        <w:t>(приложение 1).</w:t>
      </w:r>
    </w:p>
    <w:p w:rsidR="006717C7" w:rsidRPr="003C4E55" w:rsidRDefault="006717C7" w:rsidP="0071039F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55">
        <w:rPr>
          <w:rFonts w:ascii="Times New Roman" w:eastAsia="Times New Roman" w:hAnsi="Times New Roman" w:cs="Times New Roman"/>
          <w:sz w:val="28"/>
          <w:szCs w:val="28"/>
        </w:rPr>
        <w:t>Установить расчетные коэффициенты</w:t>
      </w:r>
      <w:r w:rsidR="00F71B46" w:rsidRPr="003C4E55">
        <w:rPr>
          <w:rFonts w:ascii="Times New Roman" w:eastAsia="Times New Roman" w:hAnsi="Times New Roman" w:cs="Times New Roman"/>
          <w:sz w:val="28"/>
          <w:szCs w:val="28"/>
        </w:rPr>
        <w:t>, применяемые</w:t>
      </w:r>
      <w:r w:rsidRPr="003C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B46" w:rsidRPr="003C4E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4E55">
        <w:rPr>
          <w:rFonts w:ascii="Times New Roman" w:eastAsia="Times New Roman" w:hAnsi="Times New Roman" w:cs="Times New Roman"/>
          <w:sz w:val="28"/>
          <w:szCs w:val="28"/>
        </w:rPr>
        <w:t>ри расчете годовой арендной платы за земельны</w:t>
      </w:r>
      <w:r w:rsidR="00D5096C" w:rsidRPr="003C4E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E55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5096C" w:rsidRPr="003C4E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4E55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на территории </w:t>
      </w:r>
      <w:r w:rsidR="007E2110" w:rsidRPr="003C4E55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  <w:r w:rsidR="007E2110" w:rsidRPr="003C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96C" w:rsidRPr="003C4E55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r w:rsidR="004D057A" w:rsidRPr="003C4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57A" w:rsidRPr="003C4E55" w:rsidRDefault="004D057A" w:rsidP="0071039F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5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корректирующий коэффициент</w:t>
      </w:r>
      <w:r w:rsidR="00C33369" w:rsidRPr="003C4E55">
        <w:rPr>
          <w:rFonts w:ascii="Times New Roman" w:eastAsia="Times New Roman" w:hAnsi="Times New Roman" w:cs="Times New Roman"/>
          <w:sz w:val="28"/>
          <w:szCs w:val="28"/>
        </w:rPr>
        <w:t xml:space="preserve">, применяемый при расчете годовой арендной платы за использование земельных участков, государственная собственность на которые не разграничена, на территории </w:t>
      </w:r>
      <w:r w:rsidR="007E2110" w:rsidRPr="003C4E55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  <w:r w:rsidR="007E2110" w:rsidRPr="003C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46C" w:rsidRPr="003C4E55">
        <w:rPr>
          <w:rFonts w:ascii="Times New Roman" w:eastAsia="Times New Roman" w:hAnsi="Times New Roman" w:cs="Times New Roman"/>
          <w:sz w:val="28"/>
          <w:szCs w:val="28"/>
        </w:rPr>
        <w:t>равный</w:t>
      </w:r>
      <w:r w:rsidR="00C33369" w:rsidRPr="003C4E5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E2110" w:rsidRPr="003C4E55">
        <w:rPr>
          <w:rFonts w:ascii="Times New Roman" w:eastAsia="Times New Roman" w:hAnsi="Times New Roman" w:cs="Times New Roman"/>
          <w:sz w:val="28"/>
          <w:szCs w:val="28"/>
        </w:rPr>
        <w:t>,5</w:t>
      </w:r>
      <w:r w:rsidR="00C33369" w:rsidRPr="003C4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710" w:rsidRPr="003C4E55" w:rsidRDefault="00AA06F1" w:rsidP="0071039F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12"/>
          <w:sz w:val="28"/>
          <w:szCs w:val="28"/>
        </w:rPr>
      </w:pPr>
      <w:r w:rsidRPr="003C4E55">
        <w:rPr>
          <w:rStyle w:val="FontStyle12"/>
          <w:sz w:val="28"/>
          <w:szCs w:val="28"/>
        </w:rPr>
        <w:t>Признать утратившим</w:t>
      </w:r>
      <w:r w:rsidR="004E0710" w:rsidRPr="003C4E55">
        <w:rPr>
          <w:rStyle w:val="FontStyle12"/>
          <w:sz w:val="28"/>
          <w:szCs w:val="28"/>
        </w:rPr>
        <w:t>и</w:t>
      </w:r>
      <w:r w:rsidRPr="003C4E55">
        <w:rPr>
          <w:rStyle w:val="FontStyle12"/>
          <w:sz w:val="28"/>
          <w:szCs w:val="28"/>
        </w:rPr>
        <w:t xml:space="preserve"> силу</w:t>
      </w:r>
      <w:r w:rsidR="008E67B9" w:rsidRPr="003C4E55">
        <w:rPr>
          <w:rStyle w:val="FontStyle12"/>
          <w:sz w:val="28"/>
          <w:szCs w:val="28"/>
        </w:rPr>
        <w:t xml:space="preserve"> </w:t>
      </w:r>
      <w:r w:rsidRPr="003C4E55">
        <w:rPr>
          <w:rStyle w:val="FontStyle12"/>
          <w:sz w:val="28"/>
          <w:szCs w:val="28"/>
        </w:rPr>
        <w:t>решени</w:t>
      </w:r>
      <w:r w:rsidR="00C91CDB" w:rsidRPr="003C4E55">
        <w:rPr>
          <w:rStyle w:val="FontStyle12"/>
          <w:sz w:val="28"/>
          <w:szCs w:val="28"/>
        </w:rPr>
        <w:t>е</w:t>
      </w:r>
      <w:r w:rsidRPr="003C4E55">
        <w:rPr>
          <w:rStyle w:val="FontStyle12"/>
          <w:sz w:val="28"/>
          <w:szCs w:val="28"/>
        </w:rPr>
        <w:t xml:space="preserve"> </w:t>
      </w:r>
      <w:r w:rsidR="004E0710" w:rsidRPr="003C4E55">
        <w:rPr>
          <w:rStyle w:val="FontStyle12"/>
          <w:sz w:val="28"/>
          <w:szCs w:val="28"/>
        </w:rPr>
        <w:t>С</w:t>
      </w:r>
      <w:r w:rsidRPr="003C4E55">
        <w:rPr>
          <w:rStyle w:val="FontStyle12"/>
          <w:sz w:val="28"/>
          <w:szCs w:val="28"/>
        </w:rPr>
        <w:t xml:space="preserve">овета </w:t>
      </w:r>
      <w:r w:rsidR="007E2110" w:rsidRPr="003C4E55">
        <w:rPr>
          <w:sz w:val="28"/>
          <w:szCs w:val="28"/>
        </w:rPr>
        <w:t>городского поселения «Новокручининское»</w:t>
      </w:r>
      <w:r w:rsidR="00C91CDB" w:rsidRPr="003C4E55">
        <w:rPr>
          <w:rStyle w:val="FontStyle12"/>
          <w:sz w:val="28"/>
          <w:szCs w:val="28"/>
        </w:rPr>
        <w:t xml:space="preserve"> №</w:t>
      </w:r>
      <w:r w:rsidR="008E67B9" w:rsidRPr="003C4E55">
        <w:rPr>
          <w:rStyle w:val="FontStyle12"/>
          <w:sz w:val="28"/>
          <w:szCs w:val="28"/>
        </w:rPr>
        <w:t xml:space="preserve"> </w:t>
      </w:r>
      <w:r w:rsidR="007E2110" w:rsidRPr="003C4E55">
        <w:rPr>
          <w:rStyle w:val="FontStyle12"/>
          <w:sz w:val="28"/>
          <w:szCs w:val="28"/>
        </w:rPr>
        <w:t>7</w:t>
      </w:r>
      <w:r w:rsidR="00C91CDB" w:rsidRPr="003C4E55">
        <w:rPr>
          <w:rStyle w:val="FontStyle12"/>
          <w:sz w:val="28"/>
          <w:szCs w:val="28"/>
        </w:rPr>
        <w:t xml:space="preserve"> от </w:t>
      </w:r>
      <w:r w:rsidR="007E2110" w:rsidRPr="003C4E55">
        <w:rPr>
          <w:rStyle w:val="FontStyle12"/>
          <w:sz w:val="28"/>
          <w:szCs w:val="28"/>
        </w:rPr>
        <w:t>26</w:t>
      </w:r>
      <w:r w:rsidR="00C91CDB" w:rsidRPr="003C4E55">
        <w:rPr>
          <w:rStyle w:val="FontStyle12"/>
          <w:sz w:val="28"/>
          <w:szCs w:val="28"/>
        </w:rPr>
        <w:t xml:space="preserve"> </w:t>
      </w:r>
      <w:r w:rsidR="007E2110" w:rsidRPr="003C4E55">
        <w:rPr>
          <w:rStyle w:val="FontStyle12"/>
          <w:sz w:val="28"/>
          <w:szCs w:val="28"/>
        </w:rPr>
        <w:t>декабря</w:t>
      </w:r>
      <w:r w:rsidR="00C91CDB" w:rsidRPr="003C4E55">
        <w:rPr>
          <w:rStyle w:val="FontStyle12"/>
          <w:sz w:val="28"/>
          <w:szCs w:val="28"/>
        </w:rPr>
        <w:t xml:space="preserve"> 201</w:t>
      </w:r>
      <w:r w:rsidR="007E2110" w:rsidRPr="003C4E55">
        <w:rPr>
          <w:rStyle w:val="FontStyle12"/>
          <w:sz w:val="28"/>
          <w:szCs w:val="28"/>
        </w:rPr>
        <w:t>1</w:t>
      </w:r>
      <w:r w:rsidR="00C91CDB" w:rsidRPr="003C4E55">
        <w:rPr>
          <w:rStyle w:val="FontStyle12"/>
          <w:sz w:val="28"/>
          <w:szCs w:val="28"/>
        </w:rPr>
        <w:t xml:space="preserve"> г.</w:t>
      </w:r>
    </w:p>
    <w:p w:rsidR="00834E3D" w:rsidRPr="003C4E55" w:rsidRDefault="00834E3D" w:rsidP="0071039F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0" w:firstLine="705"/>
        <w:contextualSpacing/>
        <w:rPr>
          <w:rStyle w:val="FontStyle12"/>
          <w:sz w:val="28"/>
          <w:szCs w:val="28"/>
        </w:rPr>
      </w:pPr>
      <w:r w:rsidRPr="003C4E55">
        <w:rPr>
          <w:szCs w:val="28"/>
        </w:rPr>
        <w:t xml:space="preserve">Настоящее решение разместить на официальном сайте </w:t>
      </w:r>
      <w:r w:rsidR="007E2110" w:rsidRPr="003C4E55">
        <w:rPr>
          <w:szCs w:val="28"/>
        </w:rPr>
        <w:t xml:space="preserve">городского поселения «Новокручининское» </w:t>
      </w:r>
      <w:r w:rsidRPr="003C4E55">
        <w:rPr>
          <w:szCs w:val="28"/>
        </w:rPr>
        <w:t>в информационно-телекоммуникационной сети «Интернет».</w:t>
      </w:r>
    </w:p>
    <w:p w:rsidR="00786FE5" w:rsidRPr="003C4E55" w:rsidRDefault="00786FE5" w:rsidP="0071039F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0" w:firstLine="705"/>
        <w:contextualSpacing/>
        <w:rPr>
          <w:szCs w:val="28"/>
        </w:rPr>
      </w:pPr>
      <w:r w:rsidRPr="003C4E55">
        <w:rPr>
          <w:szCs w:val="28"/>
        </w:rPr>
        <w:t xml:space="preserve">Настоящее решение вступает в </w:t>
      </w:r>
      <w:r w:rsidR="00E71194" w:rsidRPr="003C4E55">
        <w:rPr>
          <w:szCs w:val="28"/>
        </w:rPr>
        <w:t>силу после официального опубликования.</w:t>
      </w:r>
    </w:p>
    <w:p w:rsidR="00C1147B" w:rsidRPr="003C4E55" w:rsidRDefault="00C1147B" w:rsidP="00C1147B">
      <w:pPr>
        <w:pStyle w:val="a3"/>
        <w:spacing w:line="240" w:lineRule="auto"/>
        <w:ind w:firstLine="0"/>
        <w:contextualSpacing/>
        <w:rPr>
          <w:szCs w:val="28"/>
        </w:rPr>
      </w:pPr>
    </w:p>
    <w:p w:rsidR="0071039F" w:rsidRPr="003C4E55" w:rsidRDefault="0071039F" w:rsidP="00C1147B">
      <w:pPr>
        <w:pStyle w:val="a3"/>
        <w:spacing w:line="240" w:lineRule="auto"/>
        <w:ind w:firstLine="0"/>
        <w:contextualSpacing/>
        <w:rPr>
          <w:szCs w:val="28"/>
        </w:rPr>
      </w:pPr>
    </w:p>
    <w:p w:rsidR="0071039F" w:rsidRPr="003C4E55" w:rsidRDefault="0071039F" w:rsidP="00C1147B">
      <w:pPr>
        <w:pStyle w:val="a3"/>
        <w:spacing w:line="240" w:lineRule="auto"/>
        <w:ind w:firstLine="0"/>
        <w:contextualSpacing/>
        <w:rPr>
          <w:szCs w:val="28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E85" w:rsidRPr="00692E85" w:rsidRDefault="00692E85" w:rsidP="0069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E8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92E85" w:rsidRPr="00692E85" w:rsidRDefault="00692E85" w:rsidP="00692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E85">
        <w:rPr>
          <w:rFonts w:ascii="Times New Roman" w:hAnsi="Times New Roman" w:cs="Times New Roman"/>
          <w:sz w:val="28"/>
          <w:szCs w:val="28"/>
        </w:rPr>
        <w:t xml:space="preserve">«Новокручининское»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В.К. Шубина </w:t>
      </w:r>
    </w:p>
    <w:p w:rsidR="00692E85" w:rsidRPr="00692E85" w:rsidRDefault="00692E85" w:rsidP="00692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E85" w:rsidRDefault="00692E85" w:rsidP="00692E85">
      <w:pPr>
        <w:tabs>
          <w:tab w:val="left" w:pos="1703"/>
          <w:tab w:val="left" w:pos="81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55" w:rsidRDefault="003C4E5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9F" w:rsidRDefault="0071039F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475"/>
      </w:tblGrid>
      <w:tr w:rsidR="00E100A6" w:rsidRPr="0071039F" w:rsidTr="006E4168">
        <w:tc>
          <w:tcPr>
            <w:tcW w:w="6096" w:type="dxa"/>
          </w:tcPr>
          <w:p w:rsidR="00E100A6" w:rsidRDefault="00E100A6" w:rsidP="00D47350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E100A6" w:rsidRPr="0071039F" w:rsidRDefault="00E100A6" w:rsidP="0071039F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39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100A6" w:rsidRPr="0071039F" w:rsidRDefault="00E100A6" w:rsidP="0071039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E40C60" w:rsidRPr="007103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039F">
              <w:rPr>
                <w:rFonts w:ascii="Times New Roman" w:hAnsi="Times New Roman" w:cs="Times New Roman"/>
                <w:sz w:val="20"/>
                <w:szCs w:val="20"/>
              </w:rPr>
              <w:t>ешению Совета</w:t>
            </w:r>
          </w:p>
          <w:p w:rsidR="006E4168" w:rsidRPr="0071039F" w:rsidRDefault="00692E85" w:rsidP="0071039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«Новокручини</w:t>
            </w:r>
            <w:r w:rsidR="004078EB" w:rsidRPr="007103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78EB" w:rsidRPr="0071039F">
              <w:rPr>
                <w:rFonts w:ascii="Times New Roman" w:hAnsi="Times New Roman" w:cs="Times New Roman"/>
                <w:sz w:val="20"/>
                <w:szCs w:val="20"/>
              </w:rPr>
              <w:t>кое»</w:t>
            </w:r>
            <w:r w:rsidR="006E4168"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0A6" w:rsidRPr="0071039F" w:rsidRDefault="00E100A6" w:rsidP="00692E8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E4168" w:rsidRPr="007103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2E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E4168"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078EB" w:rsidRPr="0071039F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8EB" w:rsidRPr="007103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E4168"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9F">
              <w:rPr>
                <w:rFonts w:ascii="Times New Roman" w:hAnsi="Times New Roman" w:cs="Times New Roman"/>
                <w:sz w:val="20"/>
                <w:szCs w:val="20"/>
              </w:rPr>
              <w:t>г.  №</w:t>
            </w:r>
            <w:r w:rsidR="00C146FC" w:rsidRPr="0071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E100A6" w:rsidRPr="002466F7" w:rsidRDefault="00E100A6" w:rsidP="00E100A6">
      <w:p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78EB" w:rsidRDefault="004078EB" w:rsidP="004078EB">
      <w:pPr>
        <w:pStyle w:val="a3"/>
        <w:suppressAutoHyphens/>
        <w:spacing w:line="240" w:lineRule="auto"/>
        <w:ind w:firstLine="539"/>
        <w:contextualSpacing/>
        <w:rPr>
          <w:b/>
          <w:szCs w:val="28"/>
        </w:rPr>
      </w:pPr>
      <w:r>
        <w:rPr>
          <w:b/>
          <w:szCs w:val="28"/>
        </w:rPr>
        <w:t>Порядок</w:t>
      </w:r>
      <w:r w:rsidRPr="00C1147B">
        <w:rPr>
          <w:b/>
          <w:szCs w:val="28"/>
        </w:rPr>
        <w:t xml:space="preserve"> определения размера арендной платы за земельные участки, предоставленные в аренду без торгов</w:t>
      </w:r>
      <w:r>
        <w:rPr>
          <w:b/>
          <w:szCs w:val="28"/>
        </w:rPr>
        <w:t>,</w:t>
      </w:r>
      <w:r w:rsidRPr="00C1147B">
        <w:rPr>
          <w:b/>
          <w:szCs w:val="28"/>
        </w:rPr>
        <w:t xml:space="preserve"> и установлени</w:t>
      </w:r>
      <w:r>
        <w:rPr>
          <w:b/>
          <w:szCs w:val="28"/>
        </w:rPr>
        <w:t xml:space="preserve">и коэффициентов, применяемых </w:t>
      </w:r>
      <w:r w:rsidRPr="00CE496F">
        <w:rPr>
          <w:b/>
          <w:szCs w:val="28"/>
        </w:rPr>
        <w:t>при расчете годовой арендной платы за земельные участки, государственная собственность на которые не разграничена</w:t>
      </w:r>
      <w:r w:rsidRPr="00C1147B">
        <w:rPr>
          <w:b/>
          <w:szCs w:val="28"/>
        </w:rPr>
        <w:t>, расположенны</w:t>
      </w:r>
      <w:r>
        <w:rPr>
          <w:b/>
          <w:szCs w:val="28"/>
        </w:rPr>
        <w:t>е</w:t>
      </w:r>
      <w:r w:rsidRPr="00C1147B">
        <w:rPr>
          <w:b/>
          <w:szCs w:val="28"/>
        </w:rPr>
        <w:t xml:space="preserve"> на территории </w:t>
      </w:r>
      <w:r>
        <w:rPr>
          <w:b/>
          <w:szCs w:val="28"/>
        </w:rPr>
        <w:t>городского поселения «Новокручининское»</w:t>
      </w:r>
    </w:p>
    <w:p w:rsidR="004078EB" w:rsidRPr="00C1147B" w:rsidRDefault="004078EB" w:rsidP="004078EB">
      <w:pPr>
        <w:pStyle w:val="a3"/>
        <w:suppressAutoHyphens/>
        <w:spacing w:line="240" w:lineRule="auto"/>
        <w:ind w:firstLine="539"/>
        <w:contextualSpacing/>
        <w:rPr>
          <w:b/>
          <w:szCs w:val="28"/>
        </w:rPr>
      </w:pPr>
    </w:p>
    <w:p w:rsidR="004078EB" w:rsidRPr="0071039F" w:rsidRDefault="00E100A6" w:rsidP="007103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39F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правила расчета</w:t>
      </w:r>
      <w:r w:rsidR="0071039F" w:rsidRPr="0071039F">
        <w:rPr>
          <w:rFonts w:ascii="Times New Roman" w:eastAsia="Times New Roman" w:hAnsi="Times New Roman" w:cs="Times New Roman"/>
          <w:sz w:val="24"/>
          <w:szCs w:val="24"/>
        </w:rPr>
        <w:t xml:space="preserve"> размера годовой арендной </w:t>
      </w:r>
      <w:r w:rsidR="004078EB" w:rsidRPr="0071039F">
        <w:rPr>
          <w:rFonts w:ascii="Times New Roman" w:eastAsia="Times New Roman" w:hAnsi="Times New Roman" w:cs="Times New Roman"/>
          <w:sz w:val="24"/>
          <w:szCs w:val="24"/>
        </w:rPr>
        <w:t xml:space="preserve">платы </w:t>
      </w:r>
      <w:r w:rsidRPr="0071039F">
        <w:rPr>
          <w:rFonts w:ascii="Times New Roman" w:eastAsia="Times New Roman" w:hAnsi="Times New Roman" w:cs="Times New Roman"/>
          <w:sz w:val="24"/>
          <w:szCs w:val="24"/>
        </w:rPr>
        <w:t>при сдаче в аренду без торгов земельных участков, находящихся</w:t>
      </w:r>
      <w:r w:rsidR="004078EB" w:rsidRPr="00710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EB" w:rsidRPr="0071039F">
        <w:rPr>
          <w:rFonts w:ascii="Times New Roman" w:hAnsi="Times New Roman" w:cs="Times New Roman"/>
          <w:sz w:val="24"/>
          <w:szCs w:val="24"/>
        </w:rPr>
        <w:t>территории городского поселения «Новокручининское»</w:t>
      </w:r>
    </w:p>
    <w:p w:rsidR="00E100A6" w:rsidRDefault="00E100A6" w:rsidP="00E10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9F">
        <w:rPr>
          <w:rFonts w:ascii="Times New Roman" w:eastAsia="Times New Roman" w:hAnsi="Times New Roman" w:cs="Times New Roman"/>
          <w:sz w:val="24"/>
          <w:szCs w:val="24"/>
        </w:rPr>
        <w:t>2. Размер годовой арендной платы за земельные участки, находящи</w:t>
      </w:r>
      <w:r w:rsidR="00E40C60" w:rsidRPr="007103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039F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078EB" w:rsidRPr="0071039F">
        <w:rPr>
          <w:rFonts w:ascii="Times New Roman" w:hAnsi="Times New Roman" w:cs="Times New Roman"/>
          <w:sz w:val="24"/>
          <w:szCs w:val="24"/>
        </w:rPr>
        <w:t>территории городского поселения «Новокручининское»</w:t>
      </w:r>
      <w:r w:rsidRPr="00710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0C60" w:rsidRPr="0071039F">
        <w:rPr>
          <w:rFonts w:ascii="Times New Roman" w:eastAsia="Times New Roman" w:hAnsi="Times New Roman" w:cs="Times New Roman"/>
          <w:sz w:val="24"/>
          <w:szCs w:val="24"/>
        </w:rPr>
        <w:t>рассчитывает</w:t>
      </w:r>
      <w:r w:rsidRPr="0071039F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1039F" w:rsidRPr="0071039F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</w:t>
      </w:r>
      <w:r w:rsidRPr="0071039F">
        <w:rPr>
          <w:rFonts w:ascii="Times New Roman" w:eastAsia="Times New Roman" w:hAnsi="Times New Roman" w:cs="Times New Roman"/>
          <w:sz w:val="24"/>
          <w:szCs w:val="24"/>
        </w:rPr>
        <w:t>формуле:</w:t>
      </w:r>
      <w:r w:rsidRPr="007103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АП = КС x К</w:t>
      </w:r>
      <w:r w:rsidR="0005017B">
        <w:rPr>
          <w:rFonts w:ascii="Times New Roman" w:eastAsia="Times New Roman" w:hAnsi="Times New Roman" w:cs="Times New Roman"/>
          <w:sz w:val="24"/>
          <w:szCs w:val="24"/>
        </w:rPr>
        <w:t>хК1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100A6" w:rsidRDefault="00E100A6" w:rsidP="00891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sz w:val="24"/>
          <w:szCs w:val="24"/>
        </w:rPr>
        <w:t>АП - размер годовой арендно</w:t>
      </w:r>
      <w:r>
        <w:rPr>
          <w:rFonts w:ascii="Times New Roman" w:eastAsia="Times New Roman" w:hAnsi="Times New Roman" w:cs="Times New Roman"/>
          <w:sz w:val="24"/>
          <w:szCs w:val="24"/>
        </w:rPr>
        <w:t>й платы за земельный участок, руб.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0A6" w:rsidRDefault="00E100A6" w:rsidP="00E10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sz w:val="24"/>
          <w:szCs w:val="24"/>
        </w:rPr>
        <w:t>КС - кадастровая стоимость земельного участка (в случае если в Едином государственном реестре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br/>
        <w:t>К - расчетный коэффициент</w:t>
      </w:r>
      <w:r w:rsidR="000501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17B" w:rsidRDefault="0005017B" w:rsidP="00E10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К1 – корректирующий 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0A6" w:rsidRDefault="00E100A6" w:rsidP="00E40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>Расчет арендной платы з</w:t>
      </w:r>
      <w:r>
        <w:rPr>
          <w:rFonts w:ascii="Times New Roman" w:eastAsia="Times New Roman" w:hAnsi="Times New Roman" w:cs="Times New Roman"/>
          <w:sz w:val="24"/>
          <w:szCs w:val="24"/>
        </w:rPr>
        <w:t>а земельные участки производит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 xml:space="preserve">ся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расчетных 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>коэффициенто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1F2737">
        <w:rPr>
          <w:rFonts w:ascii="Times New Roman" w:eastAsia="Times New Roman" w:hAnsi="Times New Roman" w:cs="Times New Roman"/>
          <w:sz w:val="24"/>
          <w:szCs w:val="24"/>
        </w:rPr>
        <w:t>применяемы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2737">
        <w:rPr>
          <w:rFonts w:ascii="Times New Roman" w:eastAsia="Times New Roman" w:hAnsi="Times New Roman" w:cs="Times New Roman"/>
          <w:sz w:val="24"/>
          <w:szCs w:val="24"/>
        </w:rPr>
        <w:t xml:space="preserve"> при расчете годовой арендной платы за земельные участки, государственная собственность на которые не раз</w:t>
      </w:r>
      <w:r w:rsidR="00E40C60">
        <w:rPr>
          <w:rFonts w:ascii="Times New Roman" w:eastAsia="Times New Roman" w:hAnsi="Times New Roman" w:cs="Times New Roman"/>
          <w:sz w:val="24"/>
          <w:szCs w:val="24"/>
        </w:rPr>
        <w:t>граничена (приложение 2)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0A6" w:rsidRDefault="004078EB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>4</w:t>
      </w:r>
      <w:r w:rsidR="00E100A6">
        <w:rPr>
          <w:sz w:val="24"/>
        </w:rPr>
        <w:t xml:space="preserve">. </w:t>
      </w:r>
      <w:r w:rsidR="00E100A6" w:rsidRPr="00A822D2">
        <w:rPr>
          <w:sz w:val="24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V.1 </w:t>
      </w:r>
      <w:hyperlink r:id="rId8" w:history="1">
        <w:r w:rsidR="00E100A6" w:rsidRPr="001873AC">
          <w:rPr>
            <w:sz w:val="24"/>
          </w:rPr>
          <w:t>Земельного кодекса Российской Федерации</w:t>
        </w:r>
      </w:hyperlink>
      <w:r w:rsidR="00E100A6" w:rsidRPr="00A822D2">
        <w:rPr>
          <w:sz w:val="24"/>
        </w:rPr>
        <w:t xml:space="preserve"> размер годовой арендной платы за использование указанных земельных участков устанавливается в пределах: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1) двух процентов кадастровой стоимости арендуемых земельных участков;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>6</w:t>
      </w:r>
      <w:r w:rsidRPr="00A822D2">
        <w:rPr>
          <w:sz w:val="24"/>
        </w:rPr>
        <w:t xml:space="preserve">. В случае если по истечении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пунктом 5 статьи 39.6 </w:t>
      </w:r>
      <w:hyperlink r:id="rId9" w:history="1">
        <w:r w:rsidRPr="001873AC">
          <w:rPr>
            <w:sz w:val="24"/>
          </w:rPr>
          <w:t>Земельного кодекса Российской Федерации</w:t>
        </w:r>
      </w:hyperlink>
      <w:r w:rsidRPr="00A822D2">
        <w:rPr>
          <w:sz w:val="24"/>
        </w:rPr>
        <w:t xml:space="preserve">. 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 xml:space="preserve">7. </w:t>
      </w:r>
      <w:r w:rsidRPr="00A822D2">
        <w:rPr>
          <w:sz w:val="24"/>
        </w:rPr>
        <w:t>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r>
        <w:rPr>
          <w:sz w:val="24"/>
        </w:rPr>
        <w:t xml:space="preserve"> </w:t>
      </w:r>
      <w:r w:rsidRPr="00A822D2">
        <w:rPr>
          <w:sz w:val="24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1D0C8B" w:rsidRPr="008B3CC3" w:rsidRDefault="00E100A6" w:rsidP="001D0C8B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 xml:space="preserve">8. </w:t>
      </w:r>
      <w:r w:rsidR="001D0C8B" w:rsidRPr="008B3CC3">
        <w:rPr>
          <w:sz w:val="24"/>
        </w:rPr>
        <w:t xml:space="preserve">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</w:t>
      </w:r>
      <w:r w:rsidR="001D0C8B" w:rsidRPr="008B3CC3">
        <w:rPr>
          <w:sz w:val="24"/>
        </w:rPr>
        <w:lastRenderedPageBreak/>
        <w:t>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1D0C8B" w:rsidRDefault="001D0C8B" w:rsidP="001D0C8B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8B3CC3">
        <w:rPr>
          <w:sz w:val="24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E100A6" w:rsidRDefault="00E100A6" w:rsidP="001D0C8B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9.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1) с изменением кадастровой стоимости земельного участка;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2) с изменением ставок арендной платы;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3) с изменением ставок земельного налога;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4) с изменением зна</w:t>
      </w:r>
      <w:r>
        <w:rPr>
          <w:sz w:val="24"/>
        </w:rPr>
        <w:t>чений расчетных</w:t>
      </w:r>
      <w:r w:rsidRPr="00A822D2">
        <w:rPr>
          <w:sz w:val="24"/>
        </w:rPr>
        <w:t xml:space="preserve"> коэффициентов, использу</w:t>
      </w:r>
      <w:r w:rsidR="00891B76">
        <w:rPr>
          <w:sz w:val="24"/>
        </w:rPr>
        <w:t>емых при расчете арендной платы;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5) с изменением порядка (методики) определения арендной платы;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</w:t>
      </w:r>
      <w:r>
        <w:rPr>
          <w:sz w:val="24"/>
        </w:rPr>
        <w:t>ний расчетного</w:t>
      </w:r>
      <w:r w:rsidRPr="00A822D2">
        <w:rPr>
          <w:sz w:val="24"/>
        </w:rPr>
        <w:t xml:space="preserve"> коэффициент</w:t>
      </w:r>
      <w:r>
        <w:rPr>
          <w:sz w:val="24"/>
        </w:rPr>
        <w:t>а</w:t>
      </w:r>
      <w:r w:rsidRPr="00A822D2">
        <w:rPr>
          <w:sz w:val="24"/>
        </w:rPr>
        <w:t>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>1</w:t>
      </w:r>
      <w:r w:rsidRPr="00A822D2">
        <w:rPr>
          <w:sz w:val="24"/>
        </w:rPr>
        <w:t>0. Размер годовой арендной платы считается измененным с даты вступления в силу соответствующих нормативных правовых актов об установлении (утверждении) ставок арендной платы, ставок земельного налога, зна</w:t>
      </w:r>
      <w:r>
        <w:rPr>
          <w:sz w:val="24"/>
        </w:rPr>
        <w:t>чений расчетных</w:t>
      </w:r>
      <w:r w:rsidRPr="00A822D2">
        <w:rPr>
          <w:sz w:val="24"/>
        </w:rPr>
        <w:t xml:space="preserve">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 xml:space="preserve">11. </w:t>
      </w:r>
      <w:r w:rsidRPr="00A822D2">
        <w:rPr>
          <w:sz w:val="24"/>
        </w:rPr>
        <w:t>Размер годовой арендной платы, рассчитанный в зависимости от кадастровой стоимости земельного участка, подлежит перерасчету по состоянию на 1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>1</w:t>
      </w:r>
      <w:r w:rsidRPr="00A822D2">
        <w:rPr>
          <w:sz w:val="24"/>
        </w:rPr>
        <w:t xml:space="preserve">2.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</w:t>
      </w:r>
      <w:hyperlink r:id="rId10" w:history="1">
        <w:r w:rsidRPr="00A60D6B">
          <w:rPr>
            <w:sz w:val="24"/>
          </w:rPr>
          <w:t>Федерального закона от 29 июля 1998 года N 135-ФЗ "Об оценочной деятельности в Российской Федерации"</w:t>
        </w:r>
      </w:hyperlink>
      <w:r w:rsidRPr="00A60D6B">
        <w:rPr>
          <w:sz w:val="24"/>
        </w:rPr>
        <w:t>, с</w:t>
      </w:r>
      <w:r w:rsidRPr="00A822D2">
        <w:rPr>
          <w:sz w:val="24"/>
        </w:rPr>
        <w:t>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 1 января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>1</w:t>
      </w:r>
      <w:r w:rsidRPr="00A822D2">
        <w:rPr>
          <w:sz w:val="24"/>
        </w:rPr>
        <w:t>3. Арендная плата за соответствующий год вносится: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2) юридическими лицами и индивидуальными предпринимателями ежеквартально до 15-го числа последнего месяца квартала.</w:t>
      </w:r>
    </w:p>
    <w:p w:rsidR="00E100A6" w:rsidRPr="00B13BEE" w:rsidRDefault="00E100A6" w:rsidP="00B13BEE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Условия внесения арендной платы за земельные участки определяются договором аренды.</w:t>
      </w: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1EA" w:rsidRDefault="00F071EA" w:rsidP="00692E85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168" w:rsidRPr="006A340A" w:rsidRDefault="006E4168" w:rsidP="00692E85">
      <w:pPr>
        <w:suppressAutoHyphens/>
        <w:spacing w:after="0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40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6E4168" w:rsidRDefault="006E4168" w:rsidP="00692E85">
      <w:pPr>
        <w:suppressAutoHyphens/>
        <w:spacing w:after="0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40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r w:rsidR="00692E85">
        <w:rPr>
          <w:rFonts w:ascii="Times New Roman" w:eastAsia="Times New Roman" w:hAnsi="Times New Roman" w:cs="Times New Roman"/>
          <w:sz w:val="24"/>
          <w:szCs w:val="24"/>
        </w:rPr>
        <w:t>гп «Новокручини</w:t>
      </w:r>
      <w:r w:rsidR="007103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2E8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039F">
        <w:rPr>
          <w:rFonts w:ascii="Times New Roman" w:eastAsia="Times New Roman" w:hAnsi="Times New Roman" w:cs="Times New Roman"/>
          <w:sz w:val="24"/>
          <w:szCs w:val="24"/>
        </w:rPr>
        <w:t>кое»</w:t>
      </w:r>
    </w:p>
    <w:p w:rsidR="006E4168" w:rsidRDefault="006E4168" w:rsidP="00692E85">
      <w:pPr>
        <w:suppressAutoHyphens/>
        <w:spacing w:after="0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4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2E85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039F">
        <w:rPr>
          <w:rFonts w:ascii="Times New Roman" w:eastAsia="Times New Roman" w:hAnsi="Times New Roman" w:cs="Times New Roman"/>
          <w:sz w:val="24"/>
          <w:szCs w:val="24"/>
        </w:rPr>
        <w:t xml:space="preserve">  июня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92E85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84C01" w:rsidRPr="006A340A" w:rsidRDefault="00884C01" w:rsidP="006E4168">
      <w:pPr>
        <w:suppressAutoHyphens/>
        <w:spacing w:after="0"/>
        <w:ind w:left="62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76CA" w:rsidRDefault="00C351E2" w:rsidP="00B9684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Расчетные к</w:t>
      </w:r>
      <w:r w:rsidR="00786FE5" w:rsidRPr="006A340A">
        <w:rPr>
          <w:rFonts w:ascii="Times New Roman" w:eastAsia="Times New Roman" w:hAnsi="Times New Roman" w:cs="Times New Roman"/>
          <w:b/>
          <w:sz w:val="28"/>
          <w:szCs w:val="28"/>
        </w:rPr>
        <w:t>оэффициенты</w:t>
      </w:r>
      <w:r w:rsidR="006C246C">
        <w:rPr>
          <w:rFonts w:ascii="Times New Roman" w:eastAsia="Times New Roman" w:hAnsi="Times New Roman" w:cs="Times New Roman"/>
          <w:b/>
          <w:sz w:val="28"/>
          <w:szCs w:val="28"/>
        </w:rPr>
        <w:t>, применяемые при расчете</w:t>
      </w:r>
      <w:r w:rsidR="00786FE5" w:rsidRPr="006A3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76CA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</w:t>
      </w:r>
    </w:p>
    <w:p w:rsidR="00786FE5" w:rsidRPr="00B96840" w:rsidRDefault="00786FE5" w:rsidP="00B9684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40A">
        <w:rPr>
          <w:rFonts w:ascii="Times New Roman" w:eastAsia="Times New Roman" w:hAnsi="Times New Roman" w:cs="Times New Roman"/>
          <w:b/>
          <w:sz w:val="28"/>
          <w:szCs w:val="28"/>
        </w:rPr>
        <w:t>арендной платы за земельные участки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6733"/>
        <w:gridCol w:w="1823"/>
      </w:tblGrid>
      <w:tr w:rsidR="00786FE5" w:rsidRPr="006A340A" w:rsidTr="0071039F">
        <w:trPr>
          <w:trHeight w:val="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  <w:r w:rsidRPr="006A34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5C3C40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Правовой режим земель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Расчетный коэффициент</w:t>
            </w:r>
          </w:p>
        </w:tc>
      </w:tr>
      <w:tr w:rsidR="00786FE5" w:rsidRPr="006A340A" w:rsidTr="0071039F">
        <w:trPr>
          <w:trHeight w:val="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населенных пунктов: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6FE5" w:rsidRPr="006A340A" w:rsidTr="0071039F">
        <w:trPr>
          <w:trHeight w:val="103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6FE5" w:rsidRPr="006A340A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размещения объектов т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орговли, общественного питания,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бытового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гостиничного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обслуживания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="00F071E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111FB" w:rsidRPr="006A340A" w:rsidTr="0071039F">
        <w:trPr>
          <w:trHeight w:val="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ведения личного подсобного хозяйства,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786FE5" w:rsidRPr="006A340A" w:rsidTr="0071039F">
        <w:trPr>
          <w:trHeight w:val="6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8111FB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6FE5" w:rsidRPr="006A340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9B6F5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эксплуатации объектов недвижимости га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ражного назначения</w:t>
            </w:r>
            <w:r w:rsidR="009B6F5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6F5B" w:rsidRPr="006A340A" w:rsidTr="0071039F">
        <w:trPr>
          <w:trHeight w:val="4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5B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5B" w:rsidRPr="00DA4E8E" w:rsidRDefault="00D9629C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гаражи индивидуальные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5B" w:rsidRPr="00DA4E8E" w:rsidRDefault="006845EF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D9629C" w:rsidRPr="006A340A" w:rsidTr="0071039F">
        <w:trPr>
          <w:trHeight w:val="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C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C" w:rsidRPr="00DA4E8E" w:rsidRDefault="00A22689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гаражи</w:t>
            </w:r>
            <w:r w:rsidR="00D9629C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производственного назначения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C" w:rsidRPr="00DA4E8E" w:rsidRDefault="006845EF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786FE5" w:rsidRPr="006A340A" w:rsidTr="0071039F">
        <w:trPr>
          <w:trHeight w:val="16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6FE5" w:rsidRPr="006A340A">
              <w:rPr>
                <w:rFonts w:ascii="Times New Roman" w:eastAsia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 w:rsidR="009F0BF1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88B" w:rsidRPr="006A340A" w:rsidTr="0071039F">
        <w:trPr>
          <w:trHeight w:val="42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.4.1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0288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сельскохозяйственного использования</w:t>
            </w:r>
            <w:r w:rsidR="009B6F5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(сельскохозяйственного производства)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9F0BF1" w:rsidRPr="006A340A" w:rsidTr="0071039F">
        <w:trPr>
          <w:trHeight w:val="71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F1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.4.2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F1" w:rsidRPr="00DA4E8E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производственные здания, </w:t>
            </w:r>
            <w:r w:rsidR="009F0BF1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промышленные объекты, производственн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ые базы</w:t>
            </w:r>
            <w:r w:rsidR="009F0BF1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, склады, овощехранилища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F1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0,025</w:t>
            </w:r>
          </w:p>
        </w:tc>
      </w:tr>
      <w:tr w:rsidR="00811881" w:rsidRPr="006A340A" w:rsidTr="0071039F">
        <w:trPr>
          <w:trHeight w:val="6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79F5">
              <w:rPr>
                <w:rFonts w:ascii="Times New Roman" w:eastAsia="Times New Roman" w:hAnsi="Times New Roman" w:cs="Times New Roman"/>
                <w:sz w:val="26"/>
                <w:szCs w:val="26"/>
              </w:rPr>
              <w:t>.4.3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здания, офисы, конторы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  <w:r w:rsidR="0005017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22689" w:rsidRPr="006A340A" w:rsidTr="0071039F">
        <w:trPr>
          <w:trHeight w:val="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эксплуатации объектов недвижимости в сфере обслуживания автотранспорта: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A22689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2689" w:rsidRPr="00DA4E8E" w:rsidRDefault="00A22689" w:rsidP="00A2268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689" w:rsidRPr="006A340A" w:rsidTr="0071039F">
        <w:trPr>
          <w:trHeight w:val="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.5.1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втозаправочные станции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A22689" w:rsidRPr="006A340A" w:rsidTr="0071039F">
        <w:trPr>
          <w:trHeight w:val="2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A22689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газонаполнительные станции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811881" w:rsidRPr="006A340A" w:rsidTr="0071039F">
        <w:trPr>
          <w:trHeight w:val="123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.5.3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811881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автомойки, станции технического обслуживания,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631A90" w:rsidRPr="006A340A" w:rsidTr="0071039F">
        <w:trPr>
          <w:trHeight w:val="4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90" w:rsidRDefault="00631A90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90" w:rsidRPr="00DA4E8E" w:rsidRDefault="00631A90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Земельные участки для </w:t>
            </w:r>
            <w:r w:rsidR="008B74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садоводства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огородничества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90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5E1A5C" w:rsidRPr="006A340A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C" w:rsidRDefault="005E1A5C" w:rsidP="00631A90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631A9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C" w:rsidRPr="00DA4E8E" w:rsidRDefault="008365B8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E1A5C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иных целей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C" w:rsidRPr="00DA4E8E" w:rsidRDefault="005E1A5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111FB" w:rsidRPr="006A340A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0844C7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11FB" w:rsidRPr="006A340A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5E1A5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сельскохозяйственного использования (сельскохозяйственного производства)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6845EF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  <w:r w:rsidR="0005017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111FB" w:rsidRPr="006A340A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5E1A5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 для сенокошения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6845EF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  <w:r w:rsidR="000501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1FB" w:rsidRPr="006A340A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111FB" w:rsidRPr="006A340A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0,16</w:t>
            </w:r>
          </w:p>
        </w:tc>
      </w:tr>
      <w:tr w:rsidR="00A36B34" w:rsidRPr="00DA4E8E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6A340A" w:rsidRDefault="005937AD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71EA" w:rsidRPr="00DA4E8E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A" w:rsidRDefault="00F071EA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A" w:rsidRPr="00DA4E8E" w:rsidRDefault="00F071EA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A" w:rsidRPr="00DA4E8E" w:rsidRDefault="00F071EA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F071EA" w:rsidRPr="00DA4E8E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A" w:rsidRDefault="00F071EA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A" w:rsidRPr="00DA4E8E" w:rsidRDefault="00F071EA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EA" w:rsidRPr="00DA4E8E" w:rsidRDefault="00F071EA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A36B34" w:rsidRPr="00DA4E8E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6A340A" w:rsidRDefault="005937AD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 для осуществления деятельности, предусмотренной концессионным соглашением, договором об инвестиционной 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54676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  <w:r w:rsidR="0005017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36B34" w:rsidRPr="00DA4E8E" w:rsidTr="0071039F">
        <w:trPr>
          <w:trHeight w:val="27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6A340A" w:rsidRDefault="005937AD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 (образованные земельные участки) для комплексного освоения территории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54676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  <w:r w:rsidR="0005017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6E4168" w:rsidRDefault="006E4168"/>
    <w:sectPr w:rsidR="006E4168" w:rsidSect="00C1147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F8" w:rsidRDefault="007912F8" w:rsidP="00884C01">
      <w:pPr>
        <w:spacing w:after="0" w:line="240" w:lineRule="auto"/>
      </w:pPr>
      <w:r>
        <w:separator/>
      </w:r>
    </w:p>
  </w:endnote>
  <w:endnote w:type="continuationSeparator" w:id="0">
    <w:p w:rsidR="007912F8" w:rsidRDefault="007912F8" w:rsidP="008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F8" w:rsidRDefault="007912F8" w:rsidP="00884C01">
      <w:pPr>
        <w:spacing w:after="0" w:line="240" w:lineRule="auto"/>
      </w:pPr>
      <w:r>
        <w:separator/>
      </w:r>
    </w:p>
  </w:footnote>
  <w:footnote w:type="continuationSeparator" w:id="0">
    <w:p w:rsidR="007912F8" w:rsidRDefault="007912F8" w:rsidP="0088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AF1"/>
    <w:multiLevelType w:val="multilevel"/>
    <w:tmpl w:val="5D422FA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5A453F71"/>
    <w:multiLevelType w:val="hybridMultilevel"/>
    <w:tmpl w:val="4B8E1766"/>
    <w:lvl w:ilvl="0" w:tplc="0419000F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7C512FD"/>
    <w:multiLevelType w:val="singleLevel"/>
    <w:tmpl w:val="69369426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FE5"/>
    <w:rsid w:val="0005017B"/>
    <w:rsid w:val="000844C7"/>
    <w:rsid w:val="00137FDC"/>
    <w:rsid w:val="001D0C8B"/>
    <w:rsid w:val="00215761"/>
    <w:rsid w:val="0023425E"/>
    <w:rsid w:val="00241270"/>
    <w:rsid w:val="00283593"/>
    <w:rsid w:val="002B48AA"/>
    <w:rsid w:val="0030288B"/>
    <w:rsid w:val="00303E82"/>
    <w:rsid w:val="00304823"/>
    <w:rsid w:val="00313796"/>
    <w:rsid w:val="00351CDD"/>
    <w:rsid w:val="003704E8"/>
    <w:rsid w:val="003C4E55"/>
    <w:rsid w:val="004078EB"/>
    <w:rsid w:val="00464EF8"/>
    <w:rsid w:val="004A3176"/>
    <w:rsid w:val="004C6C41"/>
    <w:rsid w:val="004D057A"/>
    <w:rsid w:val="004E0710"/>
    <w:rsid w:val="004E459B"/>
    <w:rsid w:val="0054676C"/>
    <w:rsid w:val="005937AD"/>
    <w:rsid w:val="005B18A5"/>
    <w:rsid w:val="005C3C40"/>
    <w:rsid w:val="005D41B1"/>
    <w:rsid w:val="005E1A5C"/>
    <w:rsid w:val="005E37C9"/>
    <w:rsid w:val="005F54DF"/>
    <w:rsid w:val="00601DBC"/>
    <w:rsid w:val="00631A90"/>
    <w:rsid w:val="006717C7"/>
    <w:rsid w:val="006845EF"/>
    <w:rsid w:val="00691F2D"/>
    <w:rsid w:val="00692E85"/>
    <w:rsid w:val="006B6EF4"/>
    <w:rsid w:val="006C246C"/>
    <w:rsid w:val="006E2AB6"/>
    <w:rsid w:val="006E4168"/>
    <w:rsid w:val="006E51E7"/>
    <w:rsid w:val="006F2B89"/>
    <w:rsid w:val="006F76CA"/>
    <w:rsid w:val="0071039F"/>
    <w:rsid w:val="0071687C"/>
    <w:rsid w:val="007349CA"/>
    <w:rsid w:val="00761FDE"/>
    <w:rsid w:val="00782C1E"/>
    <w:rsid w:val="00786FE5"/>
    <w:rsid w:val="007877D2"/>
    <w:rsid w:val="007912F8"/>
    <w:rsid w:val="007A79F5"/>
    <w:rsid w:val="007E2110"/>
    <w:rsid w:val="0080671B"/>
    <w:rsid w:val="008111FB"/>
    <w:rsid w:val="00811881"/>
    <w:rsid w:val="0082653A"/>
    <w:rsid w:val="00834E3D"/>
    <w:rsid w:val="008365B8"/>
    <w:rsid w:val="00872D2A"/>
    <w:rsid w:val="00884C01"/>
    <w:rsid w:val="00891B76"/>
    <w:rsid w:val="008A36EF"/>
    <w:rsid w:val="008B74AB"/>
    <w:rsid w:val="008C47F9"/>
    <w:rsid w:val="008E67B9"/>
    <w:rsid w:val="009138D6"/>
    <w:rsid w:val="009201AE"/>
    <w:rsid w:val="009B6F5B"/>
    <w:rsid w:val="009F0BF1"/>
    <w:rsid w:val="00A01E26"/>
    <w:rsid w:val="00A22689"/>
    <w:rsid w:val="00A36B34"/>
    <w:rsid w:val="00A840D2"/>
    <w:rsid w:val="00AA06F1"/>
    <w:rsid w:val="00AA3272"/>
    <w:rsid w:val="00AB6E7A"/>
    <w:rsid w:val="00B13BEE"/>
    <w:rsid w:val="00B5296C"/>
    <w:rsid w:val="00B60473"/>
    <w:rsid w:val="00B96840"/>
    <w:rsid w:val="00BB361E"/>
    <w:rsid w:val="00BE4981"/>
    <w:rsid w:val="00BF4151"/>
    <w:rsid w:val="00BF6B15"/>
    <w:rsid w:val="00C04CBD"/>
    <w:rsid w:val="00C1147B"/>
    <w:rsid w:val="00C146FC"/>
    <w:rsid w:val="00C33369"/>
    <w:rsid w:val="00C351E2"/>
    <w:rsid w:val="00C46674"/>
    <w:rsid w:val="00C572CC"/>
    <w:rsid w:val="00C91CDB"/>
    <w:rsid w:val="00CC3E71"/>
    <w:rsid w:val="00CD4C57"/>
    <w:rsid w:val="00CE496F"/>
    <w:rsid w:val="00D30C3D"/>
    <w:rsid w:val="00D5096C"/>
    <w:rsid w:val="00D752FE"/>
    <w:rsid w:val="00D9629C"/>
    <w:rsid w:val="00DA4E8E"/>
    <w:rsid w:val="00DD6EF2"/>
    <w:rsid w:val="00E100A6"/>
    <w:rsid w:val="00E10DD7"/>
    <w:rsid w:val="00E15DB7"/>
    <w:rsid w:val="00E31558"/>
    <w:rsid w:val="00E40C60"/>
    <w:rsid w:val="00E55B28"/>
    <w:rsid w:val="00E71194"/>
    <w:rsid w:val="00E722DC"/>
    <w:rsid w:val="00EB6B0D"/>
    <w:rsid w:val="00F05DEB"/>
    <w:rsid w:val="00F071EA"/>
    <w:rsid w:val="00F1297C"/>
    <w:rsid w:val="00F574FA"/>
    <w:rsid w:val="00F71B46"/>
    <w:rsid w:val="00FA15DF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6FE5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6FE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андарт"/>
    <w:basedOn w:val="a"/>
    <w:rsid w:val="00786FE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71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A06F1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A06F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1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C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C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6FE5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6FE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андарт"/>
    <w:basedOn w:val="a"/>
    <w:rsid w:val="00786FE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71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A06F1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A06F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1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C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C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33546-0BF2-4D5C-B095-2C98226B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Putinceva</dc:creator>
  <cp:lastModifiedBy>home</cp:lastModifiedBy>
  <cp:revision>7</cp:revision>
  <cp:lastPrinted>2023-06-22T05:27:00Z</cp:lastPrinted>
  <dcterms:created xsi:type="dcterms:W3CDTF">2023-06-08T07:19:00Z</dcterms:created>
  <dcterms:modified xsi:type="dcterms:W3CDTF">2023-06-22T05:27:00Z</dcterms:modified>
</cp:coreProperties>
</file>